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</w:t>
      </w:r>
      <w:r w:rsidRPr="00DD4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расходов </w:t>
      </w:r>
      <w:r w:rsidR="00DD4D63" w:rsidRPr="00DD4D63">
        <w:rPr>
          <w:rFonts w:ascii="Times New Roman" w:hAnsi="Times New Roman" w:cs="Times New Roman"/>
          <w:b/>
          <w:color w:val="auto"/>
          <w:sz w:val="28"/>
          <w:szCs w:val="28"/>
        </w:rPr>
        <w:t>Новохуторного</w:t>
      </w:r>
      <w:r w:rsidRPr="00DD4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за 2020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4D3A22" w:rsidRPr="000F6C9C">
        <w:rPr>
          <w:color w:val="000000" w:themeColor="text1"/>
        </w:rPr>
        <w:t>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DD4D63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</w:t>
      </w:r>
      <w:r w:rsidRPr="00DD4D63">
        <w:rPr>
          <w:color w:val="auto"/>
        </w:rPr>
        <w:t xml:space="preserve">бюджета </w:t>
      </w:r>
      <w:r w:rsidR="00DD4D63" w:rsidRPr="00DD4D63">
        <w:rPr>
          <w:color w:val="auto"/>
        </w:rPr>
        <w:t>Новохуторного</w:t>
      </w:r>
      <w:r w:rsidR="00D92772" w:rsidRPr="00DD4D63">
        <w:rPr>
          <w:color w:val="auto"/>
        </w:rPr>
        <w:t xml:space="preserve"> сельского поселения</w:t>
      </w:r>
      <w:r w:rsidRPr="00DD4D63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DD4D63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DD4D63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DD4D63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DD4D63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DD4D6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DD4D63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DD4D6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Новохуторного</w:t>
      </w:r>
      <w:r w:rsidR="00D92772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DD4D6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DD4D6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DD4D63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DD4D6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DD4D63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DD4D63">
        <w:rPr>
          <w:color w:val="auto"/>
        </w:rPr>
        <w:t>В 20</w:t>
      </w:r>
      <w:r w:rsidR="008A6542" w:rsidRPr="00DD4D63">
        <w:rPr>
          <w:color w:val="auto"/>
        </w:rPr>
        <w:t>20</w:t>
      </w:r>
      <w:r w:rsidRPr="00DD4D63">
        <w:rPr>
          <w:color w:val="auto"/>
        </w:rPr>
        <w:t xml:space="preserve"> году на территории </w:t>
      </w:r>
      <w:r w:rsidR="00DD4D63" w:rsidRPr="00DD4D63">
        <w:rPr>
          <w:color w:val="auto"/>
        </w:rPr>
        <w:t>Новохуторного</w:t>
      </w:r>
      <w:r w:rsidR="005D36AC" w:rsidRPr="00DD4D63">
        <w:rPr>
          <w:color w:val="auto"/>
        </w:rPr>
        <w:t xml:space="preserve"> сельского поселения</w:t>
      </w:r>
      <w:r w:rsidRPr="00DD4D63">
        <w:rPr>
          <w:color w:val="auto"/>
          <w:spacing w:val="-1"/>
        </w:rPr>
        <w:t xml:space="preserve"> предоставлялись следующие льготы:</w:t>
      </w:r>
    </w:p>
    <w:p w:rsidR="009F11CF" w:rsidRPr="00DD4D63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:rsidR="009E174B" w:rsidRPr="00DD4D63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DD4D63">
        <w:rPr>
          <w:b/>
          <w:color w:val="auto"/>
          <w:spacing w:val="-1"/>
        </w:rPr>
        <w:t>П</w:t>
      </w:r>
      <w:r w:rsidR="00190A99" w:rsidRPr="00DD4D63">
        <w:rPr>
          <w:b/>
          <w:color w:val="auto"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DD4D63">
        <w:rPr>
          <w:color w:val="auto"/>
          <w:szCs w:val="24"/>
        </w:rPr>
        <w:t xml:space="preserve">Решением земского собрания </w:t>
      </w:r>
      <w:r w:rsidR="00DD4D63" w:rsidRPr="00DD4D63">
        <w:rPr>
          <w:color w:val="auto"/>
        </w:rPr>
        <w:t>Новохуторного</w:t>
      </w:r>
      <w:r w:rsidRPr="00DD4D63">
        <w:rPr>
          <w:color w:val="auto"/>
          <w:szCs w:val="24"/>
        </w:rPr>
        <w:t xml:space="preserve"> сельского поселения от 11.11.2019 № 4 "Об установлении на территории </w:t>
      </w:r>
      <w:r w:rsidR="00DD4D63" w:rsidRPr="00DD4D63">
        <w:rPr>
          <w:color w:val="auto"/>
        </w:rPr>
        <w:t>Новохуторного</w:t>
      </w:r>
      <w:r w:rsidRPr="00DD4D63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DD4D63">
        <w:rPr>
          <w:color w:val="auto"/>
          <w:sz w:val="32"/>
        </w:rPr>
        <w:t xml:space="preserve"> </w:t>
      </w:r>
      <w:r w:rsidR="004D23AF" w:rsidRPr="00DD4D63">
        <w:rPr>
          <w:color w:val="auto"/>
        </w:rPr>
        <w:t>(далее – решение о земельном налоге)</w:t>
      </w:r>
      <w:r w:rsidR="00D7442A" w:rsidRPr="00DD4D63">
        <w:rPr>
          <w:color w:val="auto"/>
        </w:rPr>
        <w:t xml:space="preserve"> налоговые</w:t>
      </w:r>
      <w:r w:rsidR="00D7442A" w:rsidRPr="000F6C9C">
        <w:rPr>
          <w:color w:val="000000" w:themeColor="text1"/>
        </w:rPr>
        <w:t xml:space="preserve"> льготы по земельному налогу установлены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311A50" w:rsidRPr="00B43105" w:rsidRDefault="00B43105" w:rsidP="00B43105">
      <w:pPr>
        <w:pStyle w:val="af1"/>
        <w:spacing w:after="0"/>
        <w:ind w:left="0"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личного подсобного хозяйства, садоводства, огородничества и животноводства, а также дачного хозяйства</w:t>
      </w:r>
      <w:r w:rsidR="00311A50" w:rsidRPr="00B43105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</w:r>
      <w:r w:rsidRPr="00B43105">
        <w:rPr>
          <w:rFonts w:ascii="Times New Roman" w:hAnsi="Times New Roman"/>
          <w:sz w:val="28"/>
        </w:rPr>
        <w:lastRenderedPageBreak/>
        <w:t xml:space="preserve">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Семьи, воспитывающие детей инвалидов и семей,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-Ветераны и инвалиды ВОВ, а также ветеранов и инвалидов боевых действий;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-Физических лиц, имеющих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Многодетные родители, организовавших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>Физические лица,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A123CE" w:rsidRPr="000F6C9C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7E" w:rsidRDefault="00AC4A7E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DD4D63" w:rsidRPr="00DD4D63">
        <w:rPr>
          <w:b/>
          <w:color w:val="auto"/>
        </w:rPr>
        <w:t>Новохуторного</w:t>
      </w:r>
      <w:r w:rsidR="00332F75" w:rsidRPr="00DD4D63">
        <w:rPr>
          <w:b/>
          <w:color w:val="auto"/>
        </w:rPr>
        <w:t xml:space="preserve"> сельского поселения 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Семьи, воспитывающие детей инвалидов и семей,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-Ветераны и инвалиды ВОВ, а также ветеранов и инвалидов боевых действий;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-Физических лиц,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Многодетные родители, организовавших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>Физические лица,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DD4D6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DD4D63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43B42" w:rsidRPr="00DD4D63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ских лиц, </w:t>
      </w:r>
      <w:r w:rsidR="00591432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составил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591432" w:rsidRPr="00DD4D63">
        <w:rPr>
          <w:rFonts w:ascii="Times New Roman" w:hAnsi="Times New Roman" w:cs="Times New Roman"/>
          <w:color w:val="auto"/>
          <w:sz w:val="28"/>
          <w:szCs w:val="28"/>
        </w:rPr>
        <w:t>,0 тыс.</w:t>
      </w:r>
      <w:r w:rsidR="00A9657B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рублей, или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52,4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>% к уровню 201</w:t>
      </w:r>
      <w:r w:rsidR="001E72CA" w:rsidRPr="00DD4D6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4,6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A9657B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3B42" w:rsidRPr="00DD4D63" w:rsidRDefault="00A9657B" w:rsidP="00143B4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составило 44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человека, или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55,7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>% к уровню 2019 года.</w:t>
      </w:r>
      <w:r w:rsidR="00143B42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Доля в общем количестве налогоплательщиков составляет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13,5</w:t>
      </w:r>
      <w:r w:rsidR="00143B42" w:rsidRPr="00DD4D63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Pr="00DD4D63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DD4D63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DD4D63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DD4D63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DD4D63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DD4D63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DD4D63" w:rsidRPr="00DD4D63">
        <w:rPr>
          <w:color w:val="auto"/>
        </w:rPr>
        <w:t>Новохуторного</w:t>
      </w:r>
      <w:r w:rsidR="0023778C" w:rsidRPr="00DD4D63">
        <w:rPr>
          <w:color w:val="auto"/>
        </w:rPr>
        <w:t xml:space="preserve"> сельского поселения</w:t>
      </w:r>
      <w:r w:rsidRPr="00DD4D63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DD4D63">
        <w:rPr>
          <w:color w:val="auto"/>
        </w:rPr>
        <w:t>Красногвардейского муниципального района</w:t>
      </w:r>
      <w:r w:rsidRPr="00DD4D63">
        <w:rPr>
          <w:rStyle w:val="FontStyle38"/>
          <w:color w:val="auto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2310B6" w:rsidRPr="00DD4D63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0,50</w:t>
      </w:r>
      <w:r w:rsidR="0093443E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</w:p>
    <w:p w:rsidR="007B5832" w:rsidRPr="003C3EDF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0,53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DD4D63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Pr="00DD4D63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DD4D63" w:rsidRPr="00DD4D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 xml:space="preserve">Выводы по результатам оценки эффективности социальных налоговых </w:t>
      </w:r>
      <w:r w:rsidRPr="00DD4D63">
        <w:rPr>
          <w:b/>
          <w:color w:val="auto"/>
        </w:rPr>
        <w:t>расходов</w:t>
      </w:r>
      <w:r w:rsidRPr="00DD4D63">
        <w:rPr>
          <w:b/>
          <w:bCs/>
          <w:color w:val="auto"/>
        </w:rPr>
        <w:t xml:space="preserve"> </w:t>
      </w:r>
      <w:r w:rsidR="00DD4D63" w:rsidRPr="00DD4D63">
        <w:rPr>
          <w:b/>
          <w:color w:val="auto"/>
        </w:rPr>
        <w:t>Новохуторного</w:t>
      </w:r>
      <w:r w:rsidR="00E921C3" w:rsidRPr="00DD4D63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DD4D63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DD4D63" w:rsidRPr="00DD4D63">
        <w:rPr>
          <w:b/>
          <w:color w:val="auto"/>
        </w:rPr>
        <w:t>Новохуторного</w:t>
      </w:r>
      <w:r w:rsidR="00E4223E" w:rsidRPr="00DD4D63">
        <w:rPr>
          <w:b/>
          <w:color w:val="auto"/>
        </w:rPr>
        <w:t xml:space="preserve"> сельского поселения Красногвардейского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охраны, содержания и использование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C22D9E" w:rsidRPr="000F6C9C" w:rsidRDefault="00C22D9E" w:rsidP="00C22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льгота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земельного налога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Областному государственному специализированному автономному учреждению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финансируемому</w:t>
      </w:r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1B" w:rsidRPr="000F6C9C" w:rsidRDefault="00C22D9E" w:rsidP="004E25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</w:t>
      </w:r>
      <w:r w:rsidR="004E251B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ая организация  не воспользовала</w:t>
      </w:r>
      <w:r w:rsidR="004E251B">
        <w:rPr>
          <w:rFonts w:ascii="Times New Roman" w:hAnsi="Times New Roman" w:cs="Times New Roman"/>
          <w:sz w:val="28"/>
          <w:szCs w:val="28"/>
        </w:rPr>
        <w:t>сь правом на получение налоговой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DD4D63" w:rsidRPr="00D41EC9">
        <w:rPr>
          <w:rFonts w:ascii="Times New Roman" w:hAnsi="Times New Roman" w:cs="Times New Roman"/>
          <w:color w:val="auto"/>
          <w:sz w:val="28"/>
          <w:szCs w:val="28"/>
        </w:rPr>
        <w:t>Новохуторного</w:t>
      </w:r>
      <w:r w:rsidRPr="00D41EC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D41EC9">
        <w:rPr>
          <w:rStyle w:val="FontStyle38"/>
          <w:color w:val="auto"/>
          <w:sz w:val="28"/>
          <w:szCs w:val="28"/>
        </w:rPr>
        <w:t>,</w:t>
      </w:r>
      <w:r w:rsidRPr="00E921C3">
        <w:rPr>
          <w:rStyle w:val="FontStyle38"/>
          <w:sz w:val="28"/>
          <w:szCs w:val="28"/>
        </w:rPr>
        <w:t xml:space="preserve">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</w:t>
      </w:r>
      <w:r w:rsidRPr="00E921C3">
        <w:rPr>
          <w:color w:val="auto"/>
          <w:sz w:val="28"/>
          <w:szCs w:val="26"/>
        </w:rPr>
        <w:lastRenderedPageBreak/>
        <w:t>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DD4D63" w:rsidRPr="00D41EC9">
        <w:rPr>
          <w:b/>
          <w:color w:val="auto"/>
        </w:rPr>
        <w:t>Новохуторного</w:t>
      </w:r>
      <w:r w:rsidR="00E921C3" w:rsidRPr="00D41EC9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E921C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30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августа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D41E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бюджета </w:t>
      </w:r>
      <w:r w:rsidR="00DD4D63" w:rsidRPr="00D41EC9">
        <w:rPr>
          <w:rFonts w:ascii="Times New Roman" w:hAnsi="Times New Roman" w:cs="Times New Roman"/>
          <w:b/>
          <w:color w:val="auto"/>
          <w:sz w:val="28"/>
          <w:szCs w:val="28"/>
        </w:rPr>
        <w:t>Новохуторного</w:t>
      </w:r>
      <w:r w:rsidR="005F1BE9" w:rsidRPr="00D41E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611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 w:rsidR="008A6542">
              <w:rPr>
                <w:b/>
                <w:szCs w:val="24"/>
              </w:rPr>
              <w:t>9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20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Семьи, воспитывающие детей инвалидов и семей,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-Ветераны и инвалиды ВОВ, а также ветеранов и инвалидов боевых действий;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-Физических лиц,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Многодетные родители, организовавших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86B1C">
              <w:rPr>
                <w:rFonts w:ascii="Times New Roman" w:hAnsi="Times New Roman"/>
              </w:rPr>
              <w:t>Физические лица,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98543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216030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98543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216030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B1654D" w:rsidRPr="00AB3811" w:rsidRDefault="00D41EC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B1654D" w:rsidRPr="00A00659" w:rsidRDefault="00B1654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gramEnd"/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25,8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4,6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41EC9">
              <w:rPr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25,5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B1654D" w:rsidRPr="00E60567" w:rsidRDefault="00D41EC9" w:rsidP="00DD4D6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13,5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771F6">
        <w:tc>
          <w:tcPr>
            <w:tcW w:w="15735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15541</w:t>
            </w:r>
          </w:p>
        </w:tc>
        <w:tc>
          <w:tcPr>
            <w:tcW w:w="2695" w:type="dxa"/>
            <w:vAlign w:val="center"/>
          </w:tcPr>
          <w:p w:rsidR="008A6542" w:rsidRPr="00E60567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12761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15541</w:t>
            </w:r>
          </w:p>
        </w:tc>
        <w:tc>
          <w:tcPr>
            <w:tcW w:w="2695" w:type="dxa"/>
            <w:vAlign w:val="center"/>
          </w:tcPr>
          <w:p w:rsidR="008A6542" w:rsidRPr="00E60567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12761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A6542" w:rsidRPr="00AB3811" w:rsidRDefault="007E058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A6542" w:rsidRPr="00A00659" w:rsidRDefault="008A6542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4C4EA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8A6542" w:rsidRPr="002906EF" w:rsidRDefault="004C4EA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8A6542" w:rsidRPr="00A00659" w:rsidRDefault="008A6542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2E1B16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2E1B1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 w:rsidR="007E0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gramEnd"/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522A09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D41EC9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522A09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41EC9">
              <w:rPr>
                <w:szCs w:val="24"/>
              </w:rPr>
              <w:t>7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 w:rsidR="009617A1"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D41EC9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9E45CD" w:rsidRDefault="008A6542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004" w:rsidRPr="00AB3811" w:rsidTr="00C30169">
        <w:tc>
          <w:tcPr>
            <w:tcW w:w="567" w:type="dxa"/>
            <w:vAlign w:val="center"/>
          </w:tcPr>
          <w:p w:rsidR="00DF7004" w:rsidRDefault="00DF700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DF7004" w:rsidRDefault="004C4EAF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 w:rsidR="009617A1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84" w:type="dxa"/>
            <w:vAlign w:val="center"/>
          </w:tcPr>
          <w:p w:rsidR="00DF7004" w:rsidRPr="006010BC" w:rsidRDefault="00DF7004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F7004" w:rsidRPr="002906EF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DF7004" w:rsidRPr="002906EF" w:rsidRDefault="00D41EC9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DF7004" w:rsidRPr="00AB3811" w:rsidRDefault="00DF7004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8A6542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D41EC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D41EC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8A6542" w:rsidRPr="002906EF" w:rsidRDefault="00D41EC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89" w:rsidRDefault="00A73F89" w:rsidP="00BD5DD4">
      <w:r>
        <w:separator/>
      </w:r>
    </w:p>
  </w:endnote>
  <w:endnote w:type="continuationSeparator" w:id="0">
    <w:p w:rsidR="00A73F89" w:rsidRDefault="00A73F89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89" w:rsidRDefault="00A73F89"/>
  </w:footnote>
  <w:footnote w:type="continuationSeparator" w:id="0">
    <w:p w:rsidR="00A73F89" w:rsidRDefault="00A73F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377D4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D419F"/>
    <w:rsid w:val="004E251B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730E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0A76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3F89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2D9E"/>
    <w:rsid w:val="00C2566F"/>
    <w:rsid w:val="00C30169"/>
    <w:rsid w:val="00C34A9D"/>
    <w:rsid w:val="00C4382E"/>
    <w:rsid w:val="00C52983"/>
    <w:rsid w:val="00C53C2F"/>
    <w:rsid w:val="00C62E85"/>
    <w:rsid w:val="00C701AA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03F7"/>
    <w:rsid w:val="00CE609D"/>
    <w:rsid w:val="00CE7347"/>
    <w:rsid w:val="00CF067F"/>
    <w:rsid w:val="00CF1D8C"/>
    <w:rsid w:val="00CF7500"/>
    <w:rsid w:val="00D1560B"/>
    <w:rsid w:val="00D23A3E"/>
    <w:rsid w:val="00D36759"/>
    <w:rsid w:val="00D41EC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D4D63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E80A5-1682-457D-BE4F-E04D91E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49E0-CD3D-442F-A41D-0817BAC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Пользователь</cp:lastModifiedBy>
  <cp:revision>2</cp:revision>
  <cp:lastPrinted>2021-08-31T06:32:00Z</cp:lastPrinted>
  <dcterms:created xsi:type="dcterms:W3CDTF">2022-12-07T12:39:00Z</dcterms:created>
  <dcterms:modified xsi:type="dcterms:W3CDTF">2022-12-07T12:39:00Z</dcterms:modified>
</cp:coreProperties>
</file>